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rPr/>
      </w:pPr>
      <w:r>
        <w:rPr/>
      </w:r>
    </w:p>
    <w:p>
      <w:pPr>
        <w:pStyle w:val="1"/>
        <w:pBdr/>
        <w:shd w:val="clear" w:color="auto" w:fill="auto"/>
        <w:ind w:hanging="0"/>
        <w:jc w:val="center"/>
        <w:rPr/>
        <w:framePr w:w="10051" w:h="14196" w:x="1186" w:y="920" w:hSpace="0" w:vSpace="0" w:wrap="around" w:vAnchor="page" w:hAnchor="page" w:hRule="exact"/>
        <w:pBdr/>
      </w:pPr>
      <w:r>
        <w:rPr>
          <w:b/>
          <w:bCs/>
        </w:rPr>
        <w:t>ПОЯСНИТЕЛЬНАЯ ЗАПИСКА</w:t>
      </w:r>
    </w:p>
    <w:p>
      <w:pPr>
        <w:pStyle w:val="1"/>
        <w:pBdr/>
        <w:shd w:val="clear" w:color="auto" w:fill="auto"/>
        <w:spacing w:before="0" w:after="300"/>
        <w:ind w:hanging="0"/>
        <w:jc w:val="center"/>
        <w:rPr/>
        <w:framePr w:w="10051" w:h="14196" w:x="1186" w:y="920" w:hSpace="0" w:vSpace="0" w:wrap="around" w:vAnchor="page" w:hAnchor="page" w:hRule="exact"/>
        <w:pBdr/>
      </w:pPr>
      <w:r>
        <w:rPr>
          <w:b/>
          <w:bCs/>
        </w:rPr>
        <w:t>К изменению в бюджет муниципального образования Поломошенский сельсовет Новичихинского района на сентябрь 2024 год</w:t>
      </w:r>
    </w:p>
    <w:p>
      <w:pPr>
        <w:pStyle w:val="1"/>
        <w:pBdr/>
        <w:shd w:val="clear" w:color="auto" w:fill="auto"/>
        <w:ind w:firstLine="78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Изменение в Бюджет на сентябрь 2024 года произошло за счет увеличения:</w:t>
      </w:r>
    </w:p>
    <w:p>
      <w:pPr>
        <w:pStyle w:val="1"/>
        <w:pBdr/>
        <w:shd w:val="clear" w:color="auto" w:fill="auto"/>
        <w:ind w:firstLine="78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-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(свалки) – 6,0 тыс. рублей (уведомление № 00421 от 15.07.2024);</w:t>
      </w:r>
    </w:p>
    <w:p>
      <w:pPr>
        <w:pStyle w:val="1"/>
        <w:pBdr/>
        <w:shd w:val="clear" w:color="auto" w:fill="auto"/>
        <w:ind w:firstLine="78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- прочие межбюджетные трансферты, передаваемые бюджетам сельских поселений (оплата труда) – 450,0 тыс. рублей (уведомление №00357 от 19.06.2024);</w:t>
      </w:r>
    </w:p>
    <w:p>
      <w:pPr>
        <w:pStyle w:val="1"/>
        <w:pBdr/>
        <w:shd w:val="clear" w:color="auto" w:fill="auto"/>
        <w:ind w:firstLine="78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- прочие межбюджетные трансферты, передаваемые бюджетам сельских поселений (оснащение контейнерных площадок контейнерами для накопления твердых коммунальных отходов) – 154,0 тыс. рублей (уведомление № 00361 от 19.06.2024);</w:t>
      </w:r>
    </w:p>
    <w:p>
      <w:pPr>
        <w:pStyle w:val="1"/>
        <w:pBdr/>
        <w:shd w:val="clear" w:color="auto" w:fill="auto"/>
        <w:ind w:firstLine="78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- прочие субсидии бюджетам сельских поселений (ППМИ) – 1 148,4 тыс.рублей.</w:t>
      </w:r>
    </w:p>
    <w:p>
      <w:pPr>
        <w:pStyle w:val="1"/>
        <w:pBdr/>
        <w:shd w:val="clear" w:color="auto" w:fill="auto"/>
        <w:ind w:firstLine="78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Изменение в Бюджет на сентябрь 2024 года произошло за счет уменьшения:</w:t>
      </w:r>
    </w:p>
    <w:p>
      <w:pPr>
        <w:pStyle w:val="1"/>
        <w:pBdr/>
        <w:shd w:val="clear" w:color="auto" w:fill="auto"/>
        <w:ind w:firstLine="78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-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(ГО ЧС содержание старост) – 6,0 тыс.рублей (уведомление №00420 от 15.07.2024).</w:t>
      </w:r>
    </w:p>
    <w:p>
      <w:pPr>
        <w:pStyle w:val="Normal"/>
        <w:pBdr/>
        <w:jc w:val="center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rFonts w:cs="Times New Roman" w:ascii="Times New Roman" w:hAnsi="Times New Roman"/>
          <w:b/>
          <w:bCs/>
          <w:sz w:val="26"/>
          <w:szCs w:val="26"/>
        </w:rPr>
        <w:t>ДОХОДЫ БЮДЖЕТА</w:t>
      </w:r>
    </w:p>
    <w:p>
      <w:pPr>
        <w:pStyle w:val="1"/>
        <w:pBdr/>
        <w:shd w:val="clear" w:color="auto" w:fill="auto"/>
        <w:ind w:firstLine="78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Параметры доходов бюджета на 2024 год приведены в приложении 1 к настоящей пояснительной записке.</w:t>
      </w:r>
    </w:p>
    <w:p>
      <w:pPr>
        <w:pStyle w:val="1"/>
        <w:pBdr/>
        <w:shd w:val="clear" w:color="auto" w:fill="auto"/>
        <w:spacing w:before="0" w:after="300"/>
        <w:ind w:firstLine="709"/>
        <w:jc w:val="center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 xml:space="preserve">Общий объем доходов на 2024 год составляет – 7 187,8 тыс. рублей.                        </w:t>
      </w:r>
      <w:r>
        <w:rPr>
          <w:b/>
          <w:bCs/>
          <w:sz w:val="26"/>
          <w:szCs w:val="26"/>
        </w:rPr>
        <w:t>РАСХОДЫ БЮДЖЕТ</w:t>
      </w:r>
      <w:r>
        <w:rPr>
          <w:sz w:val="26"/>
          <w:szCs w:val="26"/>
        </w:rPr>
        <w:t>А</w:t>
      </w:r>
    </w:p>
    <w:p>
      <w:pPr>
        <w:pStyle w:val="1"/>
        <w:pBdr/>
        <w:shd w:val="clear" w:color="auto" w:fill="auto"/>
        <w:ind w:hanging="0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 xml:space="preserve">Расходы увеличились на </w:t>
      </w:r>
      <w:r>
        <w:rPr>
          <w:color w:val="FF0000"/>
          <w:sz w:val="26"/>
          <w:szCs w:val="26"/>
        </w:rPr>
        <w:t xml:space="preserve">1 463,4 </w:t>
      </w:r>
      <w:r>
        <w:rPr>
          <w:sz w:val="26"/>
          <w:szCs w:val="26"/>
        </w:rPr>
        <w:t>тыс. рублей по следующим КБК:</w:t>
      </w:r>
    </w:p>
    <w:p>
      <w:pPr>
        <w:pStyle w:val="1"/>
        <w:pBdr/>
        <w:shd w:val="clear" w:color="auto" w:fill="auto"/>
        <w:ind w:hanging="0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30301040120010110800 – 13,7 тыс.руюлей;</w:t>
      </w:r>
    </w:p>
    <w:p>
      <w:pPr>
        <w:pStyle w:val="1"/>
        <w:pBdr/>
        <w:shd w:val="clear" w:color="auto" w:fill="auto"/>
        <w:ind w:hanging="0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30305039290018050200 – 110,0 тыс. рублей;</w:t>
      </w:r>
    </w:p>
    <w:p>
      <w:pPr>
        <w:pStyle w:val="1"/>
        <w:pBdr/>
        <w:shd w:val="clear" w:color="auto" w:fill="auto"/>
        <w:ind w:hanging="0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30305039290018080200 – 23,3 тыс. рублей;</w:t>
      </w:r>
    </w:p>
    <w:p>
      <w:pPr>
        <w:pStyle w:val="1"/>
        <w:pBdr/>
        <w:shd w:val="clear" w:color="auto" w:fill="auto"/>
        <w:ind w:hanging="0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303050392900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0260200 – 1 148,4 тыс. рублей;</w:t>
      </w:r>
    </w:p>
    <w:p>
      <w:pPr>
        <w:pStyle w:val="1"/>
        <w:pBdr/>
        <w:shd w:val="clear" w:color="auto" w:fill="auto"/>
        <w:ind w:hanging="0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30305039290018090200 – 160,0 тыс.рублей;</w:t>
      </w:r>
    </w:p>
    <w:p>
      <w:pPr>
        <w:pStyle w:val="1"/>
        <w:pBdr/>
        <w:shd w:val="clear" w:color="auto" w:fill="auto"/>
        <w:ind w:hanging="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30308010220010530200 – 8,0 тыс. рублей.</w:t>
      </w:r>
    </w:p>
    <w:p>
      <w:pPr>
        <w:pStyle w:val="1"/>
        <w:pBdr/>
        <w:shd w:val="clear" w:color="auto" w:fill="auto"/>
        <w:ind w:hanging="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Расходы уменьшились на 6,0 тыс. рублей ро следующим КБК:</w:t>
      </w:r>
    </w:p>
    <w:p>
      <w:pPr>
        <w:pStyle w:val="1"/>
        <w:pBdr/>
        <w:shd w:val="clear" w:color="auto" w:fill="auto"/>
        <w:ind w:hanging="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30303109990014710200 - 6,0 тыс. рублей.</w:t>
      </w:r>
    </w:p>
    <w:p>
      <w:pPr>
        <w:pStyle w:val="1"/>
        <w:pBdr/>
        <w:shd w:val="clear" w:color="auto" w:fill="auto"/>
        <w:ind w:hanging="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 xml:space="preserve">Общий объем расходов бюджета администрации Поломошенского сельсовета  составляет 7 137,6 тыс. рублей. </w:t>
      </w:r>
    </w:p>
    <w:p>
      <w:pPr>
        <w:pStyle w:val="1"/>
        <w:pBdr/>
        <w:shd w:val="clear" w:color="auto" w:fill="auto"/>
        <w:ind w:hanging="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Профицит бюджета- 50,2 рублей</w:t>
      </w:r>
    </w:p>
    <w:p>
      <w:pPr>
        <w:pStyle w:val="1"/>
        <w:pBdr/>
        <w:shd w:val="clear" w:color="auto" w:fill="auto"/>
        <w:ind w:hanging="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</w:r>
    </w:p>
    <w:p>
      <w:pPr>
        <w:pStyle w:val="1"/>
        <w:pBdr/>
        <w:shd w:val="clear" w:color="auto" w:fill="auto"/>
        <w:ind w:hanging="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 xml:space="preserve">Специалист службы исполнения </w:t>
      </w:r>
    </w:p>
    <w:p>
      <w:pPr>
        <w:pStyle w:val="1"/>
        <w:pBdr/>
        <w:shd w:val="clear" w:color="auto" w:fill="auto"/>
        <w:ind w:hanging="0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  <w:t>бюджета поселений                                                                   А.Н. Канищева</w:t>
      </w:r>
    </w:p>
    <w:p>
      <w:pPr>
        <w:pStyle w:val="1"/>
        <w:pBdr/>
        <w:shd w:val="clear" w:color="auto" w:fill="auto"/>
        <w:ind w:hanging="0"/>
        <w:rPr>
          <w:color w:val="auto"/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color w:val="auto"/>
          <w:sz w:val="26"/>
          <w:szCs w:val="26"/>
        </w:rPr>
      </w:r>
    </w:p>
    <w:p>
      <w:pPr>
        <w:pStyle w:val="1"/>
        <w:pBdr/>
        <w:shd w:val="clear" w:color="auto" w:fill="auto"/>
        <w:spacing w:before="0" w:after="300"/>
        <w:ind w:firstLine="709"/>
        <w:jc w:val="both"/>
        <w:rPr>
          <w:sz w:val="26"/>
          <w:szCs w:val="26"/>
        </w:rPr>
        <w:framePr w:w="10051" w:h="14196" w:x="1186" w:y="920" w:hSpace="0" w:vSpace="0" w:wrap="around" w:vAnchor="page" w:hAnchor="page" w:hRule="exact"/>
        <w:pBdr/>
      </w:pPr>
      <w:r>
        <w:rPr>
          <w:sz w:val="26"/>
          <w:szCs w:val="26"/>
        </w:rPr>
      </w:r>
    </w:p>
    <w:p>
      <w:pPr>
        <w:sectPr>
          <w:type w:val="nextPage"/>
          <w:pgSz w:w="11906" w:h="16838"/>
          <w:pgMar w:left="360" w:right="360" w:gutter="0" w:header="0" w:top="360" w:footer="0" w:bottom="36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exact" w:line="1"/>
        <w:rPr/>
      </w:pPr>
      <w:r>
        <w:rPr/>
      </w:r>
    </w:p>
    <w:p>
      <w:pPr>
        <w:pStyle w:val="Style22"/>
        <w:pBdr/>
        <w:shd w:val="clear" w:color="auto" w:fill="auto"/>
        <w:rPr/>
        <w:framePr w:w="141" w:h="322" w:x="11343" w:y="637" w:hSpace="0" w:vSpace="0" w:wrap="around" w:vAnchor="page" w:hAnchor="page" w:hRule="exact"/>
        <w:pBdr/>
      </w:pPr>
      <w:r>
        <w:rPr/>
        <w:t>1</w:t>
      </w:r>
    </w:p>
    <w:p>
      <w:pPr>
        <w:pStyle w:val="Style22"/>
        <w:pBdr/>
        <w:shd w:val="clear" w:color="auto" w:fill="auto"/>
        <w:ind w:left="7" w:right="12" w:hanging="0"/>
        <w:rPr/>
        <w:framePr w:w="42" w:h="322" w:x="11360" w:y="537" w:hSpace="0" w:vSpace="0" w:wrap="around" w:vAnchor="page" w:hAnchor="page" w:hRule="exact"/>
        <w:pBdr/>
      </w:pPr>
      <w:r>
        <w:rPr/>
      </w:r>
    </w:p>
    <w:p>
      <w:pPr>
        <w:pStyle w:val="1"/>
        <w:pBdr/>
        <w:shd w:val="clear" w:color="auto" w:fill="auto"/>
        <w:ind w:hanging="0"/>
        <w:rPr/>
        <w:framePr w:w="10802" w:h="9901" w:x="744" w:y="305" w:hSpace="0" w:vSpace="0" w:wrap="around" w:vAnchor="text" w:hAnchor="text" w:hRule="exact"/>
        <w:pBdr/>
      </w:pPr>
      <w:r>
        <w:rPr/>
        <w:t xml:space="preserve"> </w:t>
      </w:r>
    </w:p>
    <w:p>
      <w:pPr>
        <w:pStyle w:val="Style22"/>
        <w:pBdr/>
        <w:shd w:val="clear" w:color="auto" w:fill="auto"/>
        <w:jc w:val="right"/>
        <w:rPr/>
        <w:framePr w:w="182" w:h="360" w:x="11297" w:y="537" w:hSpace="0" w:vSpace="0" w:wrap="around" w:vAnchor="page" w:hAnchor="page" w:hRule="exact"/>
        <w:pBdr/>
      </w:pPr>
      <w:r>
        <w:rPr/>
      </w:r>
    </w:p>
    <w:p>
      <w:pPr>
        <w:pStyle w:val="Normal"/>
        <w:spacing w:lineRule="exact" w:line="1"/>
        <w:rPr/>
      </w:pPr>
      <w:r>
        <w:rPr/>
      </w:r>
    </w:p>
    <w:sectPr>
      <w:type w:val="nextPage"/>
      <w:pgSz w:w="11906" w:h="16838"/>
      <w:pgMar w:left="360" w:right="360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" w:customStyle="1">
    <w:name w:val="Колонтитул (2)_"/>
    <w:basedOn w:val="DefaultParagraphFont"/>
    <w:link w:val="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Style15" w:customStyle="1">
    <w:name w:val="Колонтитул_"/>
    <w:basedOn w:val="DefaultParagraphFont"/>
    <w:link w:val="Style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1" w:customStyle="1">
    <w:name w:val="Основной текст (2)_"/>
    <w:basedOn w:val="DefaultParagraphFont"/>
    <w:link w:val="23"/>
    <w:qFormat/>
    <w:rPr>
      <w:rFonts w:ascii="Arial" w:hAnsi="Arial" w:eastAsia="Arial" w:cs="Arial"/>
      <w:b w:val="false"/>
      <w:bCs w:val="false"/>
      <w:i/>
      <w:iCs/>
      <w:caps w:val="false"/>
      <w:smallCaps w:val="false"/>
      <w:strike w:val="false"/>
      <w:dstrike w:val="false"/>
      <w:sz w:val="32"/>
      <w:szCs w:val="32"/>
      <w:u w:val="none"/>
      <w:lang w:val="en-US" w:eastAsia="en-US" w:bidi="en-US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12574a"/>
    <w:rPr>
      <w:rFonts w:ascii="Tahoma" w:hAnsi="Tahoma" w:cs="Tahoma"/>
      <w:color w:val="000000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" w:customStyle="1">
    <w:name w:val="Основной текст1"/>
    <w:basedOn w:val="Normal"/>
    <w:link w:val="Style14"/>
    <w:qFormat/>
    <w:pPr>
      <w:shd w:val="clear" w:color="auto" w:fill="FFFFFF"/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22" w:customStyle="1">
    <w:name w:val="Колонтитул (2)"/>
    <w:basedOn w:val="Normal"/>
    <w:link w:val="2"/>
    <w:qFormat/>
    <w:pPr>
      <w:shd w:val="clear" w:color="auto" w:fill="FFFFFF"/>
    </w:pPr>
    <w:rPr>
      <w:rFonts w:ascii="Times New Roman" w:hAnsi="Times New Roman" w:eastAsia="Times New Roman" w:cs="Times New Roman"/>
      <w:sz w:val="20"/>
      <w:szCs w:val="20"/>
    </w:rPr>
  </w:style>
  <w:style w:type="paragraph" w:styleId="Style22" w:customStyle="1">
    <w:name w:val="Колонтитул"/>
    <w:basedOn w:val="Normal"/>
    <w:link w:val="Style15"/>
    <w:qFormat/>
    <w:pPr>
      <w:shd w:val="clear" w:color="auto" w:fill="FFFFFF"/>
    </w:pPr>
    <w:rPr>
      <w:rFonts w:ascii="Times New Roman" w:hAnsi="Times New Roman" w:eastAsia="Times New Roman" w:cs="Times New Roman"/>
      <w:sz w:val="28"/>
      <w:szCs w:val="28"/>
    </w:rPr>
  </w:style>
  <w:style w:type="paragraph" w:styleId="23" w:customStyle="1">
    <w:name w:val="Основной текст (2)"/>
    <w:basedOn w:val="Normal"/>
    <w:link w:val="21"/>
    <w:qFormat/>
    <w:pPr>
      <w:shd w:val="clear" w:color="auto" w:fill="FFFFFF"/>
      <w:spacing w:lineRule="auto" w:line="180" w:before="0" w:after="80"/>
    </w:pPr>
    <w:rPr>
      <w:rFonts w:ascii="Arial" w:hAnsi="Arial" w:eastAsia="Arial" w:cs="Arial"/>
      <w:i/>
      <w:iCs/>
      <w:sz w:val="32"/>
      <w:szCs w:val="32"/>
      <w:lang w:val="en-US" w:eastAsia="en-US" w:bidi="en-US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12574a"/>
    <w:pPr/>
    <w:rPr>
      <w:rFonts w:ascii="Tahoma" w:hAnsi="Tahoma" w:cs="Tahoma"/>
      <w:sz w:val="16"/>
      <w:szCs w:val="16"/>
    </w:rPr>
  </w:style>
  <w:style w:type="paragraph" w:styleId="Style23">
    <w:name w:val="Содержимое врезки"/>
    <w:basedOn w:val="Normal"/>
    <w:qFormat/>
    <w:pPr/>
    <w:rPr/>
  </w:style>
  <w:style w:type="paragraph" w:styleId="Style24">
    <w:name w:val="Header"/>
    <w:basedOn w:val="Style22"/>
    <w:pPr>
      <w:suppressLineNumbers/>
      <w:tabs>
        <w:tab w:val="clear" w:pos="708"/>
        <w:tab w:val="center" w:pos="5593" w:leader="none"/>
        <w:tab w:val="right" w:pos="11186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Application>LibreOffice/7.3.1.3$Windows_X86_64 LibreOffice_project/a69ca51ded25f3eefd52d7bf9a5fad8c90b87951</Application>
  <AppVersion>15.0000</AppVersion>
  <Pages>2</Pages>
  <Words>251</Words>
  <Characters>1779</Characters>
  <CharactersWithSpaces>2110</CharactersWithSpaces>
  <Paragraphs>27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2020-09-21T03:21:00Z</dcterms:created>
  <dc:creator>User</dc:creator>
  <dc:description/>
  <dc:language>ru-RU</dc:language>
  <cp:lastModifiedBy/>
  <cp:lastPrinted>2024-09-23T09:18:30Z</cp:lastPrinted>
  <dcterms:modified xsi:type="dcterms:W3CDTF">2024-09-23T09:19:05Z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